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3DE8C3A" w14:textId="77777777" w:rsidR="00870DBE" w:rsidRPr="00163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564DA0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564DA0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564DA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163DB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163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163DB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A2E8C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64791AE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2743FC3" w14:textId="332CE62E" w:rsidR="003B6E86" w:rsidRPr="00A454AB" w:rsidRDefault="000A1FD6" w:rsidP="003764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B1DD6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Pr="00564DA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r w:rsidR="00A454AB" w:rsidRPr="00A454AB">
        <w:rPr>
          <w:rFonts w:ascii="Open Sans" w:eastAsia="Open Sans" w:hAnsi="Open Sans" w:cs="Open Sans"/>
          <w:color w:val="000000"/>
          <w:sz w:val="22"/>
          <w:szCs w:val="22"/>
        </w:rPr>
        <w:t>CONTRATACIÓN DE SERVICIOS DE DOCENCIA PARA EL DESARROLLO DEL PROGRAMA INTEGRAL DE CUALIFICACIÓN Y EMPLEO (PICE), COFINANCIADO POR EL FSE, PARA LA ANUALIDAD 2022.</w:t>
      </w:r>
    </w:p>
    <w:p w14:paraId="4D7EC6B8" w14:textId="77777777" w:rsidR="00870DBE" w:rsidRPr="00564DA0" w:rsidRDefault="00870DBE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C4FA15" w14:textId="77777777" w:rsidR="007B1DD6" w:rsidRPr="007B1DD6" w:rsidRDefault="000A1FD6" w:rsidP="007B1D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1fob9te" w:colFirst="0" w:colLast="0"/>
      <w:bookmarkEnd w:id="0"/>
      <w:r w:rsidRPr="00564DA0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Breve descripción: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7B1DD6" w:rsidRPr="007B1DD6">
        <w:rPr>
          <w:rFonts w:ascii="Open Sans" w:eastAsia="Open Sans" w:hAnsi="Open Sans" w:cs="Open Sans"/>
          <w:color w:val="000000"/>
          <w:sz w:val="22"/>
          <w:szCs w:val="22"/>
        </w:rPr>
        <w:t>El objeto del contrato es la prestación del servicio de docencia para el desarrollo de acciones formativas en el marco del Programa Integral de Cualificación y Empleo (PICE), cofinanciado por el FSE, en los términos requeridos por el PPT.</w:t>
      </w:r>
    </w:p>
    <w:p w14:paraId="2ABD7849" w14:textId="77777777" w:rsidR="00D808A8" w:rsidRPr="00564DA0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15738BA3" w:rsidR="00870DBE" w:rsidRPr="00564DA0" w:rsidRDefault="000A1FD6" w:rsidP="00564DA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564DA0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asignado por el poder adjudicador o la entidad adjudicadora (en su caso):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317425">
        <w:rPr>
          <w:rFonts w:ascii="Open Sans" w:eastAsia="Open Sans" w:hAnsi="Open Sans" w:cs="Open Sans"/>
          <w:color w:val="000000"/>
          <w:sz w:val="22"/>
          <w:szCs w:val="22"/>
        </w:rPr>
        <w:t>46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163DBE" w:rsidRPr="00564DA0">
        <w:rPr>
          <w:rFonts w:ascii="Open Sans" w:eastAsia="Open Sans" w:hAnsi="Open Sans" w:cs="Open Sans"/>
          <w:color w:val="000000"/>
          <w:sz w:val="22"/>
          <w:szCs w:val="22"/>
        </w:rPr>
        <w:t>1</w:t>
      </w:r>
      <w:r w:rsidR="00AF49C6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1" w:name="_GoBack"/>
      <w:bookmarkEnd w:id="1"/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Facilite un formulario de DEUC aparte, que recoja la información exigida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lastRenderedPageBreak/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21B4E" w14:textId="77777777" w:rsidR="00B80499" w:rsidRDefault="00B80499">
      <w:r>
        <w:separator/>
      </w:r>
    </w:p>
  </w:endnote>
  <w:endnote w:type="continuationSeparator" w:id="0">
    <w:p w14:paraId="718FCA0F" w14:textId="77777777" w:rsidR="00B80499" w:rsidRDefault="00B8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B704E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B704E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C26D3" w14:textId="77777777" w:rsidR="00B80499" w:rsidRDefault="00B80499">
      <w:r>
        <w:separator/>
      </w:r>
    </w:p>
  </w:footnote>
  <w:footnote w:type="continuationSeparator" w:id="0">
    <w:p w14:paraId="280DD392" w14:textId="77777777" w:rsidR="00B80499" w:rsidRDefault="00B80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87E4" w14:textId="20649188" w:rsidR="00870DBE" w:rsidRDefault="00071D8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D2FD464" wp14:editId="3B0CE84A">
          <wp:simplePos x="0" y="0"/>
          <wp:positionH relativeFrom="column">
            <wp:posOffset>-219075</wp:posOffset>
          </wp:positionH>
          <wp:positionV relativeFrom="paragraph">
            <wp:posOffset>-1019810</wp:posOffset>
          </wp:positionV>
          <wp:extent cx="6488530" cy="614363"/>
          <wp:effectExtent l="0" t="0" r="0" b="0"/>
          <wp:wrapSquare wrapText="bothSides" distT="114300" distB="11430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8530" cy="61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1FD6"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71D88"/>
    <w:rsid w:val="00097881"/>
    <w:rsid w:val="000A1FD6"/>
    <w:rsid w:val="00163DBE"/>
    <w:rsid w:val="002158A4"/>
    <w:rsid w:val="002430AC"/>
    <w:rsid w:val="002D7DF8"/>
    <w:rsid w:val="00317425"/>
    <w:rsid w:val="0037646E"/>
    <w:rsid w:val="003B6E86"/>
    <w:rsid w:val="00564DA0"/>
    <w:rsid w:val="005B704E"/>
    <w:rsid w:val="006263E1"/>
    <w:rsid w:val="007B1DD6"/>
    <w:rsid w:val="007B4989"/>
    <w:rsid w:val="007C1C05"/>
    <w:rsid w:val="00870DBE"/>
    <w:rsid w:val="00871E08"/>
    <w:rsid w:val="00A454AB"/>
    <w:rsid w:val="00AF49C6"/>
    <w:rsid w:val="00B80499"/>
    <w:rsid w:val="00BB1BBD"/>
    <w:rsid w:val="00D808A8"/>
    <w:rsid w:val="00E02CBF"/>
    <w:rsid w:val="00E50632"/>
    <w:rsid w:val="00E5520F"/>
    <w:rsid w:val="00EC26D6"/>
    <w:rsid w:val="00F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3392</Words>
  <Characters>18657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Macarena Dúctor Pacheco</cp:lastModifiedBy>
  <cp:revision>18</cp:revision>
  <dcterms:created xsi:type="dcterms:W3CDTF">2021-12-20T16:07:00Z</dcterms:created>
  <dcterms:modified xsi:type="dcterms:W3CDTF">2021-12-30T10:34:00Z</dcterms:modified>
</cp:coreProperties>
</file>